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989330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1014730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9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1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spacing w:after="0" w:line="1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jc w:val="center"/>
        <w:ind w:right="-39"/>
        <w:spacing w:after="0"/>
        <w:rPr>
          <w:sz w:val="20"/>
          <w:szCs w:val="20"/>
          <w:color w:val="auto"/>
        </w:rPr>
      </w:pPr>
      <w:r>
        <w:rPr>
          <w:rFonts w:ascii="Times New Roman" w:cs="Times New Roman" w:eastAsia="Times New Roman" w:hAnsi="Times New Roman"/>
          <w:sz w:val="18"/>
          <w:szCs w:val="18"/>
          <w:color w:val="auto"/>
        </w:rPr>
        <w:t>Date of Report (Date of earliest event reported): April 17,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9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Humacyte, Inc.</w:t>
      </w:r>
    </w:p>
    <w:p>
      <w:pPr>
        <w:spacing w:after="0" w:line="5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440" w:right="359" w:bottom="154" w:gutter="0" w:footer="0" w:header="0"/>
        </w:sectPr>
      </w:pPr>
    </w:p>
    <w:p>
      <w:pPr>
        <w:spacing w:after="0" w:line="200" w:lineRule="exact"/>
        <w:rPr>
          <w:sz w:val="24"/>
          <w:szCs w:val="24"/>
          <w:color w:val="auto"/>
        </w:rPr>
      </w:pPr>
    </w:p>
    <w:p>
      <w:pPr>
        <w:spacing w:after="0" w:line="366"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9" w:lineRule="exact"/>
        <w:rPr>
          <w:sz w:val="24"/>
          <w:szCs w:val="24"/>
          <w:color w:val="auto"/>
        </w:rPr>
      </w:pPr>
    </w:p>
    <w:p>
      <w:pPr>
        <w:ind w:left="820"/>
        <w:spacing w:after="0"/>
        <w:rPr>
          <w:sz w:val="20"/>
          <w:szCs w:val="20"/>
          <w:color w:val="auto"/>
        </w:rPr>
      </w:pPr>
      <w:r>
        <w:rPr>
          <w:rFonts w:ascii="Times New Roman" w:cs="Times New Roman" w:eastAsia="Times New Roman" w:hAnsi="Times New Roman"/>
          <w:sz w:val="18"/>
          <w:szCs w:val="18"/>
          <w:color w:val="auto"/>
        </w:rPr>
        <w:t>(State or other jurisdiction of</w:t>
      </w:r>
    </w:p>
    <w:p>
      <w:pPr>
        <w:ind w:left="780"/>
        <w:spacing w:after="0"/>
        <w:rPr>
          <w:sz w:val="20"/>
          <w:szCs w:val="20"/>
          <w:color w:val="auto"/>
        </w:rPr>
      </w:pPr>
      <w:r>
        <w:rPr>
          <w:rFonts w:ascii="Times New Roman" w:cs="Times New Roman" w:eastAsia="Times New Roman" w:hAnsi="Times New Roman"/>
          <w:sz w:val="18"/>
          <w:szCs w:val="18"/>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46"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18"/>
          <w:szCs w:val="18"/>
          <w:b w:val="1"/>
          <w:bCs w:val="1"/>
          <w:color w:val="auto"/>
        </w:rPr>
        <w:t>001-39532</w:t>
      </w:r>
    </w:p>
    <w:p>
      <w:pPr>
        <w:spacing w:after="0" w:line="31"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46"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85-1763759</w:t>
      </w:r>
    </w:p>
    <w:p>
      <w:pPr>
        <w:spacing w:after="0" w:line="2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(I.R.S. Employer</w:t>
      </w:r>
    </w:p>
    <w:p>
      <w:pPr>
        <w:jc w:val="center"/>
        <w:ind w:right="1020"/>
        <w:spacing w:after="0"/>
        <w:rPr>
          <w:sz w:val="20"/>
          <w:szCs w:val="20"/>
          <w:color w:val="auto"/>
        </w:rPr>
      </w:pPr>
      <w:r>
        <w:rPr>
          <w:rFonts w:ascii="Times New Roman" w:cs="Times New Roman" w:eastAsia="Times New Roman" w:hAnsi="Times New Roman"/>
          <w:sz w:val="17"/>
          <w:szCs w:val="17"/>
          <w:color w:val="auto"/>
        </w:rPr>
        <w:t>Identification Number)</w:t>
      </w:r>
    </w:p>
    <w:p>
      <w:pPr>
        <w:spacing w:after="0" w:line="211" w:lineRule="exact"/>
        <w:rPr>
          <w:sz w:val="24"/>
          <w:szCs w:val="24"/>
          <w:color w:val="auto"/>
        </w:rPr>
      </w:pPr>
    </w:p>
    <w:p>
      <w:pPr>
        <w:sectPr>
          <w:pgSz w:w="11900" w:h="16838" w:orient="portrait"/>
          <w:cols w:equalWidth="0" w:num="3">
            <w:col w:w="3900" w:space="720"/>
            <w:col w:w="3200" w:space="720"/>
            <w:col w:w="2680"/>
          </w:cols>
          <w:pgMar w:left="320" w:top="1440" w:right="359" w:bottom="154" w:gutter="0" w:footer="0" w:header="0"/>
          <w:type w:val="continuous"/>
        </w:sectPr>
      </w:pPr>
    </w:p>
    <w:p>
      <w:pPr>
        <w:spacing w:after="0" w:line="325"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2525 East North Carolina Highway 54</w:t>
      </w:r>
    </w:p>
    <w:p>
      <w:pPr>
        <w:sectPr>
          <w:pgSz w:w="11900" w:h="16838" w:orient="portrait"/>
          <w:cols w:equalWidth="0" w:num="1">
            <w:col w:w="11220"/>
          </w:cols>
          <w:pgMar w:left="320" w:top="1440" w:right="359" w:bottom="154" w:gutter="0" w:footer="0" w:header="0"/>
          <w:type w:val="continuous"/>
        </w:sectPr>
      </w:pPr>
    </w:p>
    <w:p>
      <w:pPr>
        <w:spacing w:after="0" w:line="50" w:lineRule="exact"/>
        <w:rPr>
          <w:sz w:val="24"/>
          <w:szCs w:val="24"/>
          <w:color w:val="auto"/>
        </w:rPr>
      </w:pPr>
    </w:p>
    <w:p>
      <w:pPr>
        <w:ind w:left="2040"/>
        <w:spacing w:after="0"/>
        <w:rPr>
          <w:sz w:val="20"/>
          <w:szCs w:val="20"/>
          <w:color w:val="auto"/>
        </w:rPr>
      </w:pPr>
      <w:r>
        <w:rPr>
          <w:rFonts w:ascii="Times New Roman" w:cs="Times New Roman" w:eastAsia="Times New Roman" w:hAnsi="Times New Roman"/>
          <w:sz w:val="18"/>
          <w:szCs w:val="18"/>
          <w:b w:val="1"/>
          <w:bCs w:val="1"/>
          <w:color w:val="auto"/>
        </w:rPr>
        <w:t>Durham, NC</w:t>
      </w:r>
    </w:p>
    <w:p>
      <w:pPr>
        <w:spacing w:after="0" w:line="31" w:lineRule="exact"/>
        <w:rPr>
          <w:sz w:val="24"/>
          <w:szCs w:val="24"/>
          <w:color w:val="auto"/>
        </w:rPr>
      </w:pPr>
    </w:p>
    <w:p>
      <w:pPr>
        <w:ind w:left="134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30" w:lineRule="exact"/>
        <w:rPr>
          <w:sz w:val="24"/>
          <w:szCs w:val="24"/>
          <w:color w:val="auto"/>
        </w:rPr>
      </w:pPr>
    </w:p>
    <w:p>
      <w:pPr>
        <w:jc w:val="center"/>
        <w:ind w:right="2460"/>
        <w:spacing w:after="0"/>
        <w:rPr>
          <w:sz w:val="20"/>
          <w:szCs w:val="20"/>
          <w:color w:val="auto"/>
        </w:rPr>
      </w:pPr>
      <w:r>
        <w:rPr>
          <w:rFonts w:ascii="Times New Roman" w:cs="Times New Roman" w:eastAsia="Times New Roman" w:hAnsi="Times New Roman"/>
          <w:sz w:val="18"/>
          <w:szCs w:val="18"/>
          <w:b w:val="1"/>
          <w:bCs w:val="1"/>
          <w:color w:val="auto"/>
        </w:rPr>
        <w:t>27713</w:t>
      </w:r>
    </w:p>
    <w:p>
      <w:pPr>
        <w:spacing w:after="0" w:line="31" w:lineRule="exact"/>
        <w:rPr>
          <w:sz w:val="24"/>
          <w:szCs w:val="24"/>
          <w:color w:val="auto"/>
        </w:rPr>
      </w:pPr>
    </w:p>
    <w:p>
      <w:pPr>
        <w:jc w:val="center"/>
        <w:ind w:right="246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7280" w:space="720"/>
            <w:col w:w="3220"/>
          </w:cols>
          <w:pgMar w:left="320" w:top="1440" w:right="359" w:bottom="154" w:gutter="0" w:footer="0" w:header="0"/>
          <w:type w:val="continuous"/>
        </w:sectPr>
      </w:pPr>
    </w:p>
    <w:p>
      <w:pPr>
        <w:spacing w:after="0" w:line="200" w:lineRule="exact"/>
        <w:rPr>
          <w:sz w:val="24"/>
          <w:szCs w:val="24"/>
          <w:color w:val="auto"/>
        </w:rPr>
      </w:pPr>
    </w:p>
    <w:p>
      <w:pPr>
        <w:spacing w:after="0" w:line="28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(919) 313-9633</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7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66" w:lineRule="exact"/>
        <w:rPr>
          <w:sz w:val="24"/>
          <w:szCs w:val="24"/>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00" w:hanging="274"/>
        <w:spacing w:after="0"/>
        <w:tabs>
          <w:tab w:leader="none" w:pos="30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7" w:lineRule="exact"/>
        <w:rPr>
          <w:rFonts w:ascii="Wingdings" w:cs="Wingdings" w:eastAsia="Wingdings" w:hAnsi="Wingdings"/>
          <w:sz w:val="18"/>
          <w:szCs w:val="18"/>
          <w:b w:val="1"/>
          <w:bCs w:val="1"/>
          <w:color w:val="auto"/>
        </w:rPr>
      </w:pPr>
    </w:p>
    <w:p>
      <w:pPr>
        <w:ind w:left="300" w:hanging="274"/>
        <w:spacing w:after="0"/>
        <w:tabs>
          <w:tab w:leader="none" w:pos="30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 w:lineRule="exact"/>
        <w:rPr>
          <w:rFonts w:ascii="Wingdings" w:cs="Wingdings" w:eastAsia="Wingdings" w:hAnsi="Wingdings"/>
          <w:sz w:val="18"/>
          <w:szCs w:val="18"/>
          <w:b w:val="1"/>
          <w:bCs w:val="1"/>
          <w:color w:val="auto"/>
        </w:rPr>
      </w:pPr>
    </w:p>
    <w:p>
      <w:pPr>
        <w:ind w:left="300" w:hanging="274"/>
        <w:spacing w:after="0"/>
        <w:tabs>
          <w:tab w:leader="none" w:pos="30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 w:lineRule="exact"/>
        <w:rPr>
          <w:rFonts w:ascii="Wingdings" w:cs="Wingdings" w:eastAsia="Wingdings" w:hAnsi="Wingdings"/>
          <w:sz w:val="18"/>
          <w:szCs w:val="18"/>
          <w:b w:val="1"/>
          <w:bCs w:val="1"/>
          <w:color w:val="auto"/>
        </w:rPr>
      </w:pPr>
    </w:p>
    <w:p>
      <w:pPr>
        <w:ind w:left="300" w:hanging="274"/>
        <w:spacing w:after="0"/>
        <w:tabs>
          <w:tab w:leader="none" w:pos="30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4520" w:type="dxa"/>
            <w:vAlign w:val="bottom"/>
            <w:gridSpan w:val="3"/>
            <w:vMerge w:val="restart"/>
          </w:tcPr>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000" w:type="dxa"/>
            <w:vAlign w:val="bottom"/>
            <w:gridSpan w:val="2"/>
            <w:vMerge w:val="restart"/>
          </w:tcPr>
          <w:p>
            <w:pPr>
              <w:jc w:val="center"/>
              <w:ind w:right="84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w:t>
            </w:r>
          </w:p>
        </w:tc>
        <w:tc>
          <w:tcPr>
            <w:tcW w:w="0" w:type="dxa"/>
            <w:vAlign w:val="bottom"/>
          </w:tcPr>
          <w:p>
            <w:pPr>
              <w:spacing w:after="0"/>
              <w:rPr>
                <w:sz w:val="1"/>
                <w:szCs w:val="1"/>
                <w:color w:val="auto"/>
              </w:rPr>
            </w:pPr>
          </w:p>
        </w:tc>
      </w:tr>
      <w:tr>
        <w:trPr>
          <w:trHeight w:val="243"/>
        </w:trPr>
        <w:tc>
          <w:tcPr>
            <w:tcW w:w="4520" w:type="dxa"/>
            <w:vAlign w:val="bottom"/>
            <w:gridSpan w:val="3"/>
            <w:vMerge w:val="continue"/>
          </w:tcPr>
          <w:p>
            <w:pPr>
              <w:spacing w:after="0"/>
              <w:rPr>
                <w:sz w:val="21"/>
                <w:szCs w:val="21"/>
                <w:color w:val="auto"/>
              </w:rPr>
            </w:pPr>
          </w:p>
        </w:tc>
        <w:tc>
          <w:tcPr>
            <w:tcW w:w="3000" w:type="dxa"/>
            <w:vAlign w:val="bottom"/>
            <w:gridSpan w:val="2"/>
            <w:vMerge w:val="continue"/>
          </w:tcPr>
          <w:p>
            <w:pPr>
              <w:spacing w:after="0"/>
              <w:rPr>
                <w:sz w:val="21"/>
                <w:szCs w:val="21"/>
                <w:color w:val="auto"/>
              </w:rPr>
            </w:pP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registered</w:t>
            </w:r>
          </w:p>
        </w:tc>
        <w:tc>
          <w:tcPr>
            <w:tcW w:w="0" w:type="dxa"/>
            <w:vAlign w:val="bottom"/>
          </w:tcPr>
          <w:p>
            <w:pPr>
              <w:spacing w:after="0"/>
              <w:rPr>
                <w:sz w:val="1"/>
                <w:szCs w:val="1"/>
                <w:color w:val="auto"/>
              </w:rPr>
            </w:pPr>
          </w:p>
        </w:tc>
      </w:tr>
      <w:tr>
        <w:trPr>
          <w:trHeight w:val="223"/>
        </w:trPr>
        <w:tc>
          <w:tcPr>
            <w:tcW w:w="3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10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920" w:type="dxa"/>
            <w:vAlign w:val="bottom"/>
            <w:tcBorders>
              <w:top w:val="single" w:sz="8" w:color="auto"/>
            </w:tcBorders>
          </w:tcPr>
          <w:p>
            <w:pPr>
              <w:jc w:val="center"/>
              <w:ind w:right="670"/>
              <w:spacing w:after="0"/>
              <w:rPr>
                <w:sz w:val="20"/>
                <w:szCs w:val="20"/>
                <w:color w:val="auto"/>
              </w:rPr>
            </w:pPr>
            <w:r>
              <w:rPr>
                <w:rFonts w:ascii="Times New Roman" w:cs="Times New Roman" w:eastAsia="Times New Roman" w:hAnsi="Times New Roman"/>
                <w:sz w:val="18"/>
                <w:szCs w:val="18"/>
                <w:b w:val="1"/>
                <w:bCs w:val="1"/>
                <w:color w:val="auto"/>
                <w:w w:val="98"/>
              </w:rPr>
              <w:t>HUMA</w:t>
            </w:r>
          </w:p>
        </w:tc>
        <w:tc>
          <w:tcPr>
            <w:tcW w:w="80" w:type="dxa"/>
            <w:vAlign w:val="bottom"/>
          </w:tcPr>
          <w:p>
            <w:pPr>
              <w:spacing w:after="0"/>
              <w:rPr>
                <w:sz w:val="19"/>
                <w:szCs w:val="19"/>
                <w:color w:val="auto"/>
              </w:rPr>
            </w:pPr>
          </w:p>
        </w:tc>
        <w:tc>
          <w:tcPr>
            <w:tcW w:w="3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r>
        <w:trPr>
          <w:trHeight w:val="175"/>
        </w:trPr>
        <w:tc>
          <w:tcPr>
            <w:tcW w:w="4520" w:type="dxa"/>
            <w:vAlign w:val="bottom"/>
            <w:gridSpan w:val="3"/>
            <w:shd w:val="clear" w:color="auto" w:fill="CCEEFF"/>
          </w:tcPr>
          <w:p>
            <w:pPr>
              <w:jc w:val="center"/>
              <w:ind w:right="840"/>
              <w:spacing w:after="0" w:line="176" w:lineRule="exact"/>
              <w:rPr>
                <w:sz w:val="20"/>
                <w:szCs w:val="20"/>
                <w:color w:val="auto"/>
              </w:rPr>
            </w:pPr>
            <w:r>
              <w:rPr>
                <w:rFonts w:ascii="Times New Roman" w:cs="Times New Roman" w:eastAsia="Times New Roman" w:hAnsi="Times New Roman"/>
                <w:sz w:val="18"/>
                <w:szCs w:val="18"/>
                <w:b w:val="1"/>
                <w:bCs w:val="1"/>
                <w:color w:val="auto"/>
                <w:w w:val="99"/>
              </w:rPr>
              <w:t>Redeemable Warrants, each whole warrant</w:t>
            </w:r>
          </w:p>
        </w:tc>
        <w:tc>
          <w:tcPr>
            <w:tcW w:w="3000" w:type="dxa"/>
            <w:vAlign w:val="bottom"/>
            <w:gridSpan w:val="2"/>
            <w:shd w:val="clear" w:color="auto" w:fill="CCEEFF"/>
          </w:tcPr>
          <w:p>
            <w:pPr>
              <w:jc w:val="center"/>
              <w:ind w:right="840"/>
              <w:spacing w:after="0" w:line="176" w:lineRule="exact"/>
              <w:rPr>
                <w:sz w:val="20"/>
                <w:szCs w:val="20"/>
                <w:color w:val="auto"/>
              </w:rPr>
            </w:pPr>
            <w:r>
              <w:rPr>
                <w:rFonts w:ascii="Times New Roman" w:cs="Times New Roman" w:eastAsia="Times New Roman" w:hAnsi="Times New Roman"/>
                <w:sz w:val="18"/>
                <w:szCs w:val="18"/>
                <w:b w:val="1"/>
                <w:bCs w:val="1"/>
                <w:color w:val="auto"/>
                <w:w w:val="95"/>
              </w:rPr>
              <w:t>HUMAW</w:t>
            </w:r>
          </w:p>
        </w:tc>
        <w:tc>
          <w:tcPr>
            <w:tcW w:w="37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r>
        <w:trPr>
          <w:trHeight w:val="176"/>
        </w:trPr>
        <w:tc>
          <w:tcPr>
            <w:tcW w:w="4520" w:type="dxa"/>
            <w:vAlign w:val="bottom"/>
            <w:gridSpan w:val="3"/>
            <w:shd w:val="clear" w:color="auto" w:fill="CCEEFF"/>
          </w:tcPr>
          <w:p>
            <w:pPr>
              <w:jc w:val="center"/>
              <w:ind w:right="840"/>
              <w:spacing w:after="0" w:line="176" w:lineRule="exact"/>
              <w:rPr>
                <w:sz w:val="20"/>
                <w:szCs w:val="20"/>
                <w:color w:val="auto"/>
              </w:rPr>
            </w:pPr>
            <w:r>
              <w:rPr>
                <w:rFonts w:ascii="Times New Roman" w:cs="Times New Roman" w:eastAsia="Times New Roman" w:hAnsi="Times New Roman"/>
                <w:sz w:val="18"/>
                <w:szCs w:val="18"/>
                <w:b w:val="1"/>
                <w:bCs w:val="1"/>
                <w:color w:val="auto"/>
                <w:w w:val="99"/>
              </w:rPr>
              <w:t>exercisable for one share of Common Stock at</w:t>
            </w:r>
          </w:p>
        </w:tc>
        <w:tc>
          <w:tcPr>
            <w:tcW w:w="2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520" w:type="dxa"/>
            <w:vAlign w:val="bottom"/>
            <w:gridSpan w:val="3"/>
            <w:shd w:val="clear" w:color="auto" w:fill="CCEEFF"/>
          </w:tcPr>
          <w:p>
            <w:pPr>
              <w:jc w:val="center"/>
              <w:ind w:right="840"/>
              <w:spacing w:after="0"/>
              <w:rPr>
                <w:sz w:val="20"/>
                <w:szCs w:val="20"/>
                <w:color w:val="auto"/>
              </w:rPr>
            </w:pPr>
            <w:r>
              <w:rPr>
                <w:rFonts w:ascii="Times New Roman" w:cs="Times New Roman" w:eastAsia="Times New Roman" w:hAnsi="Times New Roman"/>
                <w:sz w:val="18"/>
                <w:szCs w:val="18"/>
                <w:b w:val="1"/>
                <w:bCs w:val="1"/>
                <w:color w:val="auto"/>
                <w:w w:val="99"/>
              </w:rPr>
              <w:t>an exercise price of $11.50</w:t>
            </w:r>
          </w:p>
        </w:tc>
        <w:tc>
          <w:tcPr>
            <w:tcW w:w="29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7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52" w:lineRule="exact"/>
        <w:rPr>
          <w:sz w:val="24"/>
          <w:szCs w:val="24"/>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x</w:t>
      </w:r>
    </w:p>
    <w:p>
      <w:pPr>
        <w:spacing w:after="0" w:line="185" w:lineRule="exact"/>
        <w:rPr>
          <w:sz w:val="24"/>
          <w:szCs w:val="24"/>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440" w:right="359" w:bottom="154" w:gutter="0" w:footer="0" w:header="0"/>
          <w:type w:val="continuous"/>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813435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April 17, 2025, Humacyte, Inc. issued a statement, which is furnished as Exhibit 99.1 to this Current Report on Form 8-K and is incorporated by reference herein.</w:t>
      </w:r>
    </w:p>
    <w:p>
      <w:pPr>
        <w:spacing w:after="0" w:line="12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information contained in this Item 7.01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4480" w:type="dxa"/>
            <w:vAlign w:val="bottom"/>
          </w:tcPr>
          <w:p>
            <w:pPr>
              <w:spacing w:after="0"/>
              <w:rPr>
                <w:sz w:val="20"/>
                <w:szCs w:val="20"/>
                <w:color w:val="auto"/>
              </w:rPr>
            </w:pPr>
          </w:p>
        </w:tc>
      </w:tr>
      <w:tr>
        <w:trPr>
          <w:trHeight w:val="432"/>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412"/>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0" w:type="dxa"/>
            <w:vAlign w:val="bottom"/>
          </w:tcPr>
          <w:p>
            <w:pPr>
              <w:spacing w:after="0"/>
              <w:rPr>
                <w:sz w:val="24"/>
                <w:szCs w:val="24"/>
                <w:color w:val="auto"/>
              </w:rPr>
            </w:pPr>
          </w:p>
        </w:tc>
        <w:tc>
          <w:tcPr>
            <w:tcW w:w="8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9"/>
        </w:trPr>
        <w:tc>
          <w:tcPr>
            <w:tcW w:w="2140" w:type="dxa"/>
            <w:vAlign w:val="bottom"/>
            <w:tcBorders>
              <w:top w:val="single" w:sz="8" w:color="auto"/>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99.1</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980" w:type="dxa"/>
            <w:vAlign w:val="bottom"/>
            <w:tcBorders>
              <w:top w:val="single" w:sz="8" w:color="auto"/>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E32E1"/>
              </w:rPr>
              <w:t>Humacyte Statement on Recent Attacks, dated April 17, 2025.</w:t>
            </w:r>
          </w:p>
        </w:tc>
      </w:tr>
      <w:tr>
        <w:trPr>
          <w:trHeight w:val="257"/>
        </w:trPr>
        <w:tc>
          <w:tcPr>
            <w:tcW w:w="214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4500" w:type="dxa"/>
            <w:vAlign w:val="bottom"/>
            <w:tcBorders>
              <w:top w:val="single" w:sz="8" w:color="0E32E1"/>
            </w:tcBorders>
          </w:tcPr>
          <w:p>
            <w:pPr>
              <w:spacing w:after="0"/>
              <w:rPr>
                <w:sz w:val="22"/>
                <w:szCs w:val="22"/>
                <w:color w:val="auto"/>
              </w:rPr>
            </w:pPr>
          </w:p>
        </w:tc>
        <w:tc>
          <w:tcPr>
            <w:tcW w:w="4480" w:type="dxa"/>
            <w:vAlign w:val="bottom"/>
            <w:tcBorders>
              <w:top w:val="single" w:sz="8" w:color="CCEEFF"/>
            </w:tcBorders>
          </w:tcPr>
          <w:p>
            <w:pPr>
              <w:spacing w:after="0"/>
              <w:rPr>
                <w:sz w:val="22"/>
                <w:szCs w:val="22"/>
                <w:color w:val="auto"/>
              </w:rPr>
            </w:pPr>
          </w:p>
        </w:tc>
      </w:tr>
      <w:tr>
        <w:trPr>
          <w:trHeight w:val="250"/>
        </w:trPr>
        <w:tc>
          <w:tcPr>
            <w:tcW w:w="2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9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905"/>
        </w:trPr>
        <w:tc>
          <w:tcPr>
            <w:tcW w:w="2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520" w:type="dxa"/>
            <w:vAlign w:val="bottom"/>
            <w:gridSpan w:val="2"/>
          </w:tcPr>
          <w:p>
            <w:pPr>
              <w:jc w:val="right"/>
              <w:ind w:right="1010"/>
              <w:spacing w:after="0"/>
              <w:rPr>
                <w:sz w:val="20"/>
                <w:szCs w:val="20"/>
                <w:color w:val="auto"/>
              </w:rPr>
            </w:pPr>
            <w:r>
              <w:rPr>
                <w:rFonts w:ascii="Times New Roman" w:cs="Times New Roman" w:eastAsia="Times New Roman" w:hAnsi="Times New Roman"/>
                <w:sz w:val="18"/>
                <w:szCs w:val="18"/>
                <w:color w:val="auto"/>
              </w:rPr>
              <w:t>1</w:t>
            </w:r>
          </w:p>
        </w:tc>
        <w:tc>
          <w:tcPr>
            <w:tcW w:w="4480" w:type="dxa"/>
            <w:vAlign w:val="bottom"/>
          </w:tcPr>
          <w:p>
            <w:pPr>
              <w:spacing w:after="0"/>
              <w:rPr>
                <w:sz w:val="24"/>
                <w:szCs w:val="24"/>
                <w:color w:val="auto"/>
              </w:rPr>
            </w:pPr>
          </w:p>
        </w:tc>
      </w:tr>
      <w:tr>
        <w:trPr>
          <w:trHeight w:val="115"/>
        </w:trPr>
        <w:tc>
          <w:tcPr>
            <w:tcW w:w="2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500" w:type="dxa"/>
            <w:vAlign w:val="bottom"/>
            <w:tcBorders>
              <w:bottom w:val="single" w:sz="8" w:color="9A9A9A"/>
            </w:tcBorders>
          </w:tcPr>
          <w:p>
            <w:pPr>
              <w:spacing w:after="0"/>
              <w:rPr>
                <w:sz w:val="10"/>
                <w:szCs w:val="10"/>
                <w:color w:val="auto"/>
              </w:rPr>
            </w:pPr>
          </w:p>
        </w:tc>
        <w:tc>
          <w:tcPr>
            <w:tcW w:w="44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92"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8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11220" w:type="dxa"/>
            <w:vAlign w:val="bottom"/>
            <w:gridSpan w:val="3"/>
          </w:tcPr>
          <w:p>
            <w:pPr>
              <w:ind w:left="5800"/>
              <w:spacing w:after="0"/>
              <w:rPr>
                <w:sz w:val="20"/>
                <w:szCs w:val="20"/>
                <w:color w:val="auto"/>
              </w:rPr>
            </w:pPr>
            <w:r>
              <w:rPr>
                <w:rFonts w:ascii="Times New Roman" w:cs="Times New Roman" w:eastAsia="Times New Roman" w:hAnsi="Times New Roman"/>
                <w:sz w:val="18"/>
                <w:szCs w:val="18"/>
                <w:b w:val="1"/>
                <w:bCs w:val="1"/>
                <w:color w:val="auto"/>
              </w:rPr>
              <w:t>HUMACYTE, INC.</w:t>
            </w:r>
          </w:p>
        </w:tc>
      </w:tr>
      <w:tr>
        <w:trPr>
          <w:trHeight w:val="454"/>
        </w:trPr>
        <w:tc>
          <w:tcPr>
            <w:tcW w:w="11220" w:type="dxa"/>
            <w:vAlign w:val="bottom"/>
            <w:gridSpan w:val="3"/>
          </w:tcPr>
          <w:p>
            <w:pPr>
              <w:ind w:left="5800"/>
              <w:spacing w:after="0"/>
              <w:rPr>
                <w:sz w:val="20"/>
                <w:szCs w:val="20"/>
                <w:color w:val="auto"/>
              </w:rPr>
            </w:pPr>
            <w:r>
              <w:rPr>
                <w:rFonts w:ascii="Times New Roman" w:cs="Times New Roman" w:eastAsia="Times New Roman" w:hAnsi="Times New Roman"/>
                <w:sz w:val="18"/>
                <w:szCs w:val="18"/>
                <w:color w:val="auto"/>
              </w:rPr>
              <w:t>By:   /s/ Dale A. Sander</w:t>
            </w:r>
          </w:p>
        </w:tc>
      </w:tr>
      <w:tr>
        <w:trPr>
          <w:trHeight w:val="241"/>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April 17, 2025</w:t>
            </w:r>
          </w:p>
        </w:tc>
        <w:tc>
          <w:tcPr>
            <w:tcW w:w="4360" w:type="dxa"/>
            <w:vAlign w:val="bottom"/>
          </w:tcPr>
          <w:p>
            <w:pPr>
              <w:spacing w:after="0"/>
              <w:rPr>
                <w:sz w:val="20"/>
                <w:szCs w:val="20"/>
                <w:color w:val="auto"/>
              </w:rPr>
            </w:pPr>
          </w:p>
        </w:tc>
      </w:tr>
      <w:tr>
        <w:trPr>
          <w:trHeight w:val="225"/>
        </w:trPr>
        <w:tc>
          <w:tcPr>
            <w:tcW w:w="6260" w:type="dxa"/>
            <w:vAlign w:val="bottom"/>
          </w:tcPr>
          <w:p>
            <w:pPr>
              <w:spacing w:after="0"/>
              <w:rPr>
                <w:sz w:val="19"/>
                <w:szCs w:val="19"/>
                <w:color w:val="auto"/>
              </w:rPr>
            </w:pPr>
          </w:p>
        </w:tc>
        <w:tc>
          <w:tcPr>
            <w:tcW w:w="6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36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Dale A. Sander</w:t>
            </w:r>
          </w:p>
        </w:tc>
      </w:tr>
      <w:tr>
        <w:trPr>
          <w:trHeight w:val="189"/>
        </w:trPr>
        <w:tc>
          <w:tcPr>
            <w:tcW w:w="6260" w:type="dxa"/>
            <w:vAlign w:val="bottom"/>
          </w:tcPr>
          <w:p>
            <w:pPr>
              <w:spacing w:after="0"/>
              <w:rPr>
                <w:sz w:val="16"/>
                <w:szCs w:val="16"/>
                <w:color w:val="auto"/>
              </w:rPr>
            </w:pPr>
          </w:p>
        </w:tc>
        <w:tc>
          <w:tcPr>
            <w:tcW w:w="6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Title:</w:t>
            </w:r>
          </w:p>
        </w:tc>
        <w:tc>
          <w:tcPr>
            <w:tcW w:w="4360" w:type="dxa"/>
            <w:vAlign w:val="bottom"/>
          </w:tcPr>
          <w:p>
            <w:pPr>
              <w:ind w:left="100"/>
              <w:spacing w:after="0" w:line="189" w:lineRule="exact"/>
              <w:rPr>
                <w:sz w:val="20"/>
                <w:szCs w:val="20"/>
                <w:color w:val="auto"/>
              </w:rPr>
            </w:pPr>
            <w:r>
              <w:rPr>
                <w:rFonts w:ascii="Times New Roman" w:cs="Times New Roman" w:eastAsia="Times New Roman" w:hAnsi="Times New Roman"/>
                <w:sz w:val="18"/>
                <w:szCs w:val="18"/>
                <w:color w:val="auto"/>
              </w:rPr>
              <w:t>Chief Financial Officer, Chief Corporate Development</w:t>
            </w:r>
          </w:p>
        </w:tc>
      </w:tr>
      <w:tr>
        <w:trPr>
          <w:trHeight w:val="234"/>
        </w:trPr>
        <w:tc>
          <w:tcPr>
            <w:tcW w:w="6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Officer and Treasurer</w:t>
            </w:r>
          </w:p>
        </w:tc>
      </w:tr>
      <w:tr>
        <w:trPr>
          <w:trHeight w:val="905"/>
        </w:trPr>
        <w:tc>
          <w:tcPr>
            <w:tcW w:w="626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2</w:t>
            </w:r>
          </w:p>
        </w:tc>
        <w:tc>
          <w:tcPr>
            <w:tcW w:w="600" w:type="dxa"/>
            <w:vAlign w:val="bottom"/>
          </w:tcPr>
          <w:p>
            <w:pPr>
              <w:spacing w:after="0"/>
              <w:rPr>
                <w:sz w:val="24"/>
                <w:szCs w:val="24"/>
                <w:color w:val="auto"/>
              </w:rPr>
            </w:pPr>
          </w:p>
        </w:tc>
        <w:tc>
          <w:tcPr>
            <w:tcW w:w="4360" w:type="dxa"/>
            <w:vAlign w:val="bottom"/>
          </w:tcPr>
          <w:p>
            <w:pPr>
              <w:spacing w:after="0"/>
              <w:rPr>
                <w:sz w:val="24"/>
                <w:szCs w:val="24"/>
                <w:color w:val="auto"/>
              </w:rPr>
            </w:pPr>
          </w:p>
        </w:tc>
      </w:tr>
    </w:tbl>
    <w:p>
      <w:pPr>
        <w:sectPr>
          <w:pgSz w:w="11900" w:h="16838" w:orient="portrait"/>
          <w:cols w:equalWidth="0" w:num="1">
            <w:col w:w="11240"/>
          </w:cols>
          <w:pgMar w:left="320" w:top="1292"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2419985</wp:posOffset>
            </wp:positionH>
            <wp:positionV relativeFrom="page">
              <wp:posOffset>354965</wp:posOffset>
            </wp:positionV>
            <wp:extent cx="2708910" cy="514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270891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Humacyte Statement on Recent Attacks</w:t>
      </w:r>
    </w:p>
    <w:p>
      <w:pPr>
        <w:spacing w:after="0" w:line="243" w:lineRule="exact"/>
        <w:rPr>
          <w:sz w:val="20"/>
          <w:szCs w:val="20"/>
          <w:color w:val="auto"/>
        </w:rPr>
      </w:pPr>
    </w:p>
    <w:p>
      <w:pPr>
        <w:ind w:right="380"/>
        <w:spacing w:after="0" w:line="274" w:lineRule="auto"/>
        <w:rPr>
          <w:sz w:val="20"/>
          <w:szCs w:val="20"/>
          <w:color w:val="auto"/>
        </w:rPr>
      </w:pPr>
      <w:r>
        <w:rPr>
          <w:rFonts w:ascii="Arial" w:cs="Arial" w:eastAsia="Arial" w:hAnsi="Arial"/>
          <w:sz w:val="20"/>
          <w:szCs w:val="20"/>
          <w:b w:val="1"/>
          <w:bCs w:val="1"/>
          <w:color w:val="auto"/>
        </w:rPr>
        <w:t xml:space="preserve">DURHAM, N.C., April 17, 2025 </w:t>
      </w:r>
      <w:r>
        <w:rPr>
          <w:rFonts w:ascii="Arial" w:cs="Arial" w:eastAsia="Arial" w:hAnsi="Arial"/>
          <w:sz w:val="20"/>
          <w:szCs w:val="20"/>
          <w:color w:val="auto"/>
        </w:rPr>
        <w:t>– Dr. Laura Niklason, President and CEO of Humacyte, Inc. (Nasdaq: HUMA), released the</w:t>
      </w:r>
      <w:r>
        <w:rPr>
          <w:rFonts w:ascii="Arial" w:cs="Arial" w:eastAsia="Arial" w:hAnsi="Arial"/>
          <w:sz w:val="20"/>
          <w:szCs w:val="20"/>
          <w:b w:val="1"/>
          <w:bCs w:val="1"/>
          <w:color w:val="auto"/>
        </w:rPr>
        <w:t xml:space="preserve"> </w:t>
      </w:r>
      <w:r>
        <w:rPr>
          <w:rFonts w:ascii="Arial" w:cs="Arial" w:eastAsia="Arial" w:hAnsi="Arial"/>
          <w:sz w:val="20"/>
          <w:szCs w:val="20"/>
          <w:color w:val="auto"/>
        </w:rPr>
        <w:t>following statement today:</w:t>
      </w:r>
    </w:p>
    <w:p>
      <w:pPr>
        <w:spacing w:after="0" w:line="179" w:lineRule="exact"/>
        <w:rPr>
          <w:sz w:val="20"/>
          <w:szCs w:val="20"/>
          <w:color w:val="auto"/>
        </w:rPr>
      </w:pPr>
    </w:p>
    <w:p>
      <w:pPr>
        <w:ind w:right="260"/>
        <w:spacing w:after="0" w:line="271" w:lineRule="auto"/>
        <w:rPr>
          <w:sz w:val="20"/>
          <w:szCs w:val="20"/>
          <w:color w:val="auto"/>
        </w:rPr>
      </w:pPr>
      <w:r>
        <w:rPr>
          <w:rFonts w:ascii="Arial" w:cs="Arial" w:eastAsia="Arial" w:hAnsi="Arial"/>
          <w:sz w:val="20"/>
          <w:szCs w:val="20"/>
          <w:color w:val="auto"/>
        </w:rPr>
        <w:t>“At Humacyte, we’re in the business of saving lives and limbs. The authors of a recent ‘citizen petition’ to the FDA – four men who have never used our product – want to stop us. We won’t let them succeed.”</w:t>
      </w:r>
    </w:p>
    <w:p>
      <w:pPr>
        <w:spacing w:after="0" w:line="183" w:lineRule="exact"/>
        <w:rPr>
          <w:sz w:val="20"/>
          <w:szCs w:val="20"/>
          <w:color w:val="auto"/>
        </w:rPr>
      </w:pPr>
    </w:p>
    <w:p>
      <w:pPr>
        <w:ind w:right="100"/>
        <w:spacing w:after="0" w:line="244" w:lineRule="auto"/>
        <w:rPr>
          <w:sz w:val="20"/>
          <w:szCs w:val="20"/>
          <w:color w:val="auto"/>
        </w:rPr>
      </w:pPr>
      <w:r>
        <w:rPr>
          <w:rFonts w:ascii="Arial" w:cs="Arial" w:eastAsia="Arial" w:hAnsi="Arial"/>
          <w:sz w:val="20"/>
          <w:szCs w:val="20"/>
          <w:color w:val="auto"/>
        </w:rPr>
        <w:t>“One of the signatories of this petition, Hooman Noorchashm, has filed nine previous petitions with the FDA, none of which has resulted in agency action. Another signatory, our chief critic, Robert E. Lee, left the FDA last fall – several months before Symvess was approved – to found Echelon, a private consulting firm focused on providing services to medical device companies. Two of Dr. Lee’s colleagues on the leadership team at Echelon also serve as key advisors to Phraxis, Inc., one of Humacyte’s potential competitors in providing vascular access for hemodialysis.”</w:t>
      </w:r>
    </w:p>
    <w:p>
      <w:pPr>
        <w:spacing w:after="0" w:line="208" w:lineRule="exact"/>
        <w:rPr>
          <w:sz w:val="20"/>
          <w:szCs w:val="20"/>
          <w:color w:val="auto"/>
        </w:rPr>
      </w:pPr>
    </w:p>
    <w:p>
      <w:pPr>
        <w:spacing w:after="0" w:line="255" w:lineRule="auto"/>
        <w:rPr>
          <w:sz w:val="20"/>
          <w:szCs w:val="20"/>
          <w:color w:val="auto"/>
        </w:rPr>
      </w:pPr>
      <w:r>
        <w:rPr>
          <w:rFonts w:ascii="Arial" w:cs="Arial" w:eastAsia="Arial" w:hAnsi="Arial"/>
          <w:sz w:val="20"/>
          <w:szCs w:val="20"/>
          <w:color w:val="auto"/>
        </w:rPr>
        <w:t>“It’s perhaps no surprise that someone with competitive interests would resort to libel and slander against Humacyte. However, I hope that media outlets engaging with Dr. Lee disclose his clear and disqualifying personal conflicts of interest to their readers, rather than treating him as a credible voice.”</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color w:val="auto"/>
        </w:rPr>
        <w:t>“The ‘citizen petition’ itself is without merit. We will respond at the appropriate time with the FDA.”</w:t>
      </w:r>
    </w:p>
    <w:p>
      <w:pPr>
        <w:spacing w:after="0" w:line="229" w:lineRule="exact"/>
        <w:rPr>
          <w:sz w:val="20"/>
          <w:szCs w:val="20"/>
          <w:color w:val="auto"/>
        </w:rPr>
      </w:pPr>
    </w:p>
    <w:p>
      <w:pPr>
        <w:ind w:right="140"/>
        <w:spacing w:after="0" w:line="271" w:lineRule="auto"/>
        <w:rPr>
          <w:sz w:val="20"/>
          <w:szCs w:val="20"/>
          <w:color w:val="auto"/>
        </w:rPr>
      </w:pPr>
      <w:r>
        <w:rPr>
          <w:rFonts w:ascii="Arial" w:cs="Arial" w:eastAsia="Arial" w:hAnsi="Arial"/>
          <w:sz w:val="20"/>
          <w:szCs w:val="20"/>
          <w:color w:val="auto"/>
        </w:rPr>
        <w:t>“Over the last two decades, we've worked hard to build Humacyte into what it is today. I take immense pride in that work, and I won't let false, harmful claims go unchallenged.”</w:t>
      </w:r>
    </w:p>
    <w:sectPr>
      <w:pgSz w:w="11900" w:h="16838" w:orient="portrait"/>
      <w:cols w:equalWidth="0" w:num="1">
        <w:col w:w="11180"/>
      </w:cols>
      <w:pgMar w:left="320" w:top="1440"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2025-04-18T05:23:52Z</dcterms:created>
  <dcterms:modified xsi:type="dcterms:W3CDTF">2025-04-18T05:23:52Z</dcterms:modified>
</cp:coreProperties>
</file>