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 w:right="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-225425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5253990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3976370</wp:posOffset>
            </wp:positionH>
            <wp:positionV relativeFrom="paragraph">
              <wp:posOffset>-626110</wp:posOffset>
            </wp:positionV>
            <wp:extent cx="58420" cy="6394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743585</wp:posOffset>
            </wp:positionV>
            <wp:extent cx="7046595" cy="461073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610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8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Sebelius Kathleen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181" w:lineRule="exact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</w:rPr>
                <w:t xml:space="preserve">Humacyte, Inc. </w:t>
              </w:r>
            </w:hyperlink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HUMA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6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06/11/2026</w:t>
            </w: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2525 EAST NORTH CAROLINA HIGHWAY 54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54" w:lineRule="exact"/>
        <w:rPr>
          <w:sz w:val="20"/>
          <w:szCs w:val="20"/>
          <w:color w:val="auto"/>
        </w:rPr>
      </w:pPr>
    </w:p>
    <w:p>
      <w:pPr>
        <w:ind w:right="620"/>
        <w:spacing w:after="0" w:line="25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ind w:left="520"/>
        <w:spacing w:after="0"/>
        <w:tabs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0" w:lineRule="exact"/>
        <w:rPr>
          <w:sz w:val="20"/>
          <w:szCs w:val="20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520"/>
        <w:spacing w:after="0"/>
        <w:tabs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05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80" w:space="60"/>
            <w:col w:w="3340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232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DURHAM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NC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27713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0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6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4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6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81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93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7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1.08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06/11/2026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80,000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06/11/2036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80,000</w:t>
            </w:r>
          </w:p>
        </w:tc>
        <w:tc>
          <w:tcPr>
            <w:tcW w:w="6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80,000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104"/>
        </w:trPr>
        <w:tc>
          <w:tcPr>
            <w:tcW w:w="680" w:type="dxa"/>
            <w:vAlign w:val="bottom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The first 25% of the option becomes exercisable on June 11, 2027, after which 1/48 of the option will become exercisable on the 11th of each month through June 11, 2030.</w:t>
      </w:r>
    </w:p>
    <w:p>
      <w:pPr>
        <w:spacing w:after="0" w:line="55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9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/s/ Kathleen Sebelius by Dale</w:t>
            </w:r>
          </w:p>
        </w:tc>
        <w:tc>
          <w:tcPr>
            <w:tcW w:w="220" w:type="dxa"/>
            <w:vAlign w:val="bottom"/>
            <w:gridSpan w:val="2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06/12/2026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20" w:type="dxa"/>
            <w:vAlign w:val="bottom"/>
            <w:gridSpan w:val="2"/>
            <w:vMerge w:val="restart"/>
          </w:tcPr>
          <w:p>
            <w:pPr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A. Sander as Attorney-in-Fact</w:t>
            </w: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20" w:type="dxa"/>
            <w:vAlign w:val="bottom"/>
            <w:tcBorders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654316" TargetMode="External"/><Relationship Id="rId14" Type="http://schemas.openxmlformats.org/officeDocument/2006/relationships/hyperlink" Target="http://www.sec.gov/cgi-bin/browse-edgar?action=getcompany&amp;CIK=000181838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2026-06-12T16:57:35Z</dcterms:created>
  <dcterms:modified xsi:type="dcterms:W3CDTF">2026-06-12T16:57:35Z</dcterms:modified>
</cp:coreProperties>
</file>