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610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610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Green Charles Bruce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Humacyte,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FF"/>
              </w:rPr>
              <w:t>HUMA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06/12/2025</w:t>
            </w:r>
          </w:p>
        </w:tc>
        <w:tc>
          <w:tcPr>
            <w:tcW w:w="2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2525 EAST NORTH CAROLINA HIGHWAY 54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right="620"/>
        <w:spacing w:after="0" w:line="25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520"/>
        <w:spacing w:after="0"/>
        <w:tabs>
          <w:tab w:leader="none" w:pos="2059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0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0"/>
            <w:col w:w="334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232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DURHAM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27713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2.41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06/12/2025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06/12/2035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80,000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80,000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first 25% of the option becomes exercisable on June 12, 2026, after which 1/48 of the option will become exercisable on the 12th of each month through June 12, 2029.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Charles Bruce Green by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-8890</wp:posOffset>
            </wp:positionV>
            <wp:extent cx="115252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Dale A. Sander as Attorney-in-  06/16/2025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85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-15875</wp:posOffset>
            </wp:positionV>
            <wp:extent cx="1835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945398" TargetMode="External"/><Relationship Id="rId14" Type="http://schemas.openxmlformats.org/officeDocument/2006/relationships/hyperlink" Target="http://www.sec.gov/cgi-bin/browse-edgar?action=getcompany&amp;CIK=0001818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2025-06-16T15:34:41Z</dcterms:created>
  <dcterms:modified xsi:type="dcterms:W3CDTF">2025-06-16T15:34:41Z</dcterms:modified>
</cp:coreProperties>
</file>